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pl-PL"/>
        </w:rPr>
        <w:t xml:space="preserve">SZCZEGÓŁOWE </w:t>
      </w:r>
      <w:r w:rsidRPr="006F0177">
        <w:rPr>
          <w:rFonts w:ascii="Times New Roman" w:eastAsia="Times New Roman" w:hAnsi="Times New Roman" w:cs="Times New Roman"/>
          <w:sz w:val="28"/>
          <w:szCs w:val="20"/>
          <w:lang w:eastAsia="pl-PL"/>
        </w:rPr>
        <w:t>SPECYFIKACJE TECHNICZNE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D - 06.04.01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ROWY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Cs w:val="20"/>
          <w:lang w:eastAsia="pl-PL"/>
        </w:rPr>
        <w:t>(W przypadku robót remontowych i utrzymaniowych)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br w:type="page"/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20"/>
          <w:lang w:eastAsia="pl-PL"/>
        </w:rPr>
      </w:pPr>
    </w:p>
    <w:p w:rsidR="006F0177" w:rsidRPr="006F0177" w:rsidRDefault="006F0177" w:rsidP="006F0177">
      <w:pPr>
        <w:pBdr>
          <w:bottom w:val="single" w:sz="6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SPIS TREŚCI</w:t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caps/>
          <w:sz w:val="20"/>
          <w:szCs w:val="20"/>
          <w:lang w:eastAsia="pl-PL"/>
        </w:rPr>
        <w:t xml:space="preserve">  </w:t>
      </w:r>
      <w:r w:rsidRPr="006F0177">
        <w:rPr>
          <w:rFonts w:ascii="Times New Roman" w:eastAsia="Times New Roman" w:hAnsi="Times New Roman" w:cs="Times New Roman"/>
          <w:caps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sz w:val="20"/>
          <w:szCs w:val="20"/>
          <w:lang w:eastAsia="pl-PL"/>
        </w:rPr>
        <w:instrText xml:space="preserve"> TOC \o "1-1" </w:instrText>
      </w:r>
      <w:r w:rsidRPr="006F0177">
        <w:rPr>
          <w:rFonts w:ascii="Times New Roman" w:eastAsia="Times New Roman" w:hAnsi="Times New Roman" w:cs="Times New Roman"/>
          <w:caps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>1. WSTĘP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_Toc428169257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_Toc428169257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3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2. MATERIAŁY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_Toc428169258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_Toc428169258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3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3. SPRZĘT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_Toc428169259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_Toc428169259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3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4. TRANSPORT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_Toc428169260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_Toc428169260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4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5. WYKONANIE ROBÓT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_Toc428169261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_Toc428169261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4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6. KONTROLA JAKOŚCI ROBÓT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_Toc428169262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_Toc428169262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5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7. OBMIAR ROBÓT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_Toc428169263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_Toc428169263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6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8. ODBIÓR ROBÓT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_Toc428169264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_Toc428169264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6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 xml:space="preserve">  9. PODSTAWA PŁATNOŚCI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_Toc428169265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_Toc428169265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6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caps/>
          <w:noProof/>
          <w:sz w:val="20"/>
          <w:szCs w:val="20"/>
          <w:lang w:eastAsia="pl-PL"/>
        </w:rPr>
        <w:t>10. PRZEPISY ZWIĄZANE</w: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GOTOBUTTON _Toc428169266 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begin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 xml:space="preserve"> PAGEREF _Toc428169266 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separate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instrText>7</w:instrText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  <w:r w:rsidRPr="006F0177">
        <w:rPr>
          <w:rFonts w:ascii="Times New Roman" w:eastAsia="Times New Roman" w:hAnsi="Times New Roman" w:cs="Times New Roman"/>
          <w:caps/>
          <w:noProof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after="0" w:line="240" w:lineRule="auto"/>
        <w:ind w:left="9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fldChar w:fldCharType="end"/>
      </w:r>
    </w:p>
    <w:p w:rsidR="006F0177" w:rsidRPr="006F0177" w:rsidRDefault="006F0177" w:rsidP="006F0177">
      <w:pPr>
        <w:pBdr>
          <w:top w:val="single" w:sz="6" w:space="1" w:color="auto"/>
        </w:pBd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6F0177" w:rsidRPr="006F0177" w:rsidRDefault="006F0177" w:rsidP="006F0177">
      <w:pPr>
        <w:pBdr>
          <w:top w:val="single" w:sz="6" w:space="1" w:color="auto"/>
        </w:pBd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6F0177" w:rsidRPr="006F0177" w:rsidRDefault="006F0177" w:rsidP="006F0177">
      <w:pPr>
        <w:pBdr>
          <w:top w:val="single" w:sz="6" w:space="1" w:color="auto"/>
        </w:pBd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NAJWAŻNIEJSZE OZNACZENIA I SKRÓTY</w:t>
      </w:r>
    </w:p>
    <w:tbl>
      <w:tblPr>
        <w:tblW w:w="0" w:type="auto"/>
        <w:tblInd w:w="16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3420"/>
      </w:tblGrid>
      <w:tr w:rsidR="006F0177" w:rsidRPr="006F0177" w:rsidTr="006F0177">
        <w:tc>
          <w:tcPr>
            <w:tcW w:w="810" w:type="dxa"/>
            <w:hideMark/>
          </w:tcPr>
          <w:p w:rsidR="006F0177" w:rsidRPr="006F0177" w:rsidRDefault="006F0177" w:rsidP="006F0177">
            <w:pPr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OST</w:t>
            </w:r>
          </w:p>
        </w:tc>
        <w:tc>
          <w:tcPr>
            <w:tcW w:w="3420" w:type="dxa"/>
            <w:hideMark/>
          </w:tcPr>
          <w:p w:rsidR="006F0177" w:rsidRPr="006F0177" w:rsidRDefault="006F0177" w:rsidP="006F0177">
            <w:pPr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ogólna specyfikacja techniczna</w:t>
            </w:r>
          </w:p>
        </w:tc>
      </w:tr>
      <w:tr w:rsidR="006F0177" w:rsidRPr="006F0177" w:rsidTr="006F0177">
        <w:tc>
          <w:tcPr>
            <w:tcW w:w="810" w:type="dxa"/>
            <w:hideMark/>
          </w:tcPr>
          <w:p w:rsidR="006F0177" w:rsidRPr="006F0177" w:rsidRDefault="006F0177" w:rsidP="006F0177">
            <w:pPr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SST</w:t>
            </w:r>
          </w:p>
        </w:tc>
        <w:tc>
          <w:tcPr>
            <w:tcW w:w="3420" w:type="dxa"/>
            <w:hideMark/>
          </w:tcPr>
          <w:p w:rsidR="006F0177" w:rsidRPr="006F0177" w:rsidRDefault="006F0177" w:rsidP="006F0177">
            <w:pPr>
              <w:tabs>
                <w:tab w:val="right" w:leader="dot" w:pos="-1985"/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szczegółowa specyfikacja techniczna</w:t>
            </w:r>
          </w:p>
        </w:tc>
      </w:tr>
    </w:tbl>
    <w:p w:rsidR="006F0177" w:rsidRPr="006F0177" w:rsidRDefault="006F0177" w:rsidP="006F0177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20"/>
          <w:lang w:eastAsia="pl-PL"/>
        </w:rPr>
      </w:pPr>
    </w:p>
    <w:p w:rsidR="006F0177" w:rsidRPr="006F0177" w:rsidRDefault="006F0177" w:rsidP="006F0177">
      <w:pPr>
        <w:spacing w:after="0" w:line="240" w:lineRule="auto"/>
        <w:rPr>
          <w:rFonts w:ascii="Times New Roman" w:eastAsia="Times New Roman" w:hAnsi="Times New Roman" w:cs="Times New Roman"/>
          <w:sz w:val="19"/>
          <w:szCs w:val="20"/>
          <w:lang w:eastAsia="pl-PL"/>
        </w:rPr>
        <w:sectPr w:rsidR="006F0177" w:rsidRPr="006F0177">
          <w:pgSz w:w="11907" w:h="16840"/>
          <w:pgMar w:top="2835" w:right="2268" w:bottom="2835" w:left="2268" w:header="1985" w:footer="1531" w:gutter="0"/>
          <w:cols w:space="708"/>
        </w:sectPr>
      </w:pP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0" w:name="_Toc428169257"/>
      <w:bookmarkStart w:id="1" w:name="_Toc416830698"/>
      <w:bookmarkStart w:id="2" w:name="_Toc404150096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lastRenderedPageBreak/>
        <w:t>1. WSTĘP</w:t>
      </w:r>
      <w:bookmarkEnd w:id="0"/>
      <w:bookmarkEnd w:id="1"/>
      <w:bookmarkEnd w:id="2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S</w:t>
      </w: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Przedmiotem niniejszej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szczegółowej specyfikacji technicznej (S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ST) są wymagania dotyczące wykonania i odbioru robót związanych z remontowaniem i utrzymaniem rowów 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1.2. Zakres stosowania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</w:t>
      </w: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6F0177" w:rsidRPr="006F0177" w:rsidRDefault="006F0177" w:rsidP="006F0177">
      <w:pPr>
        <w:tabs>
          <w:tab w:val="left" w:pos="0"/>
        </w:tabs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Szczegółowa specyfikacja techniczna (SST) stanowi dokument przetargowy i kontraktowy przy zlecaniu i realizacji zadania :</w:t>
      </w:r>
    </w:p>
    <w:p w:rsid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"Przebudowa drogi powiatowej Nr1023 R Pysznica - Piskorowy Staw"</w:t>
      </w:r>
      <w:bookmarkStart w:id="3" w:name="_GoBack"/>
      <w:bookmarkEnd w:id="3"/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1.3. Zakres robót objętych S</w:t>
      </w: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Ustalenia zawarte w niniejszej specyfikacji dotyczą zasad prowadzenia robót związanych z oczyszczaniem, pogłębianiem oraz profilowaniem dna i skarp rowu.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 Określenia podstawowe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1.4.1.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Rów - otwarty wykop o głębokości co najmniej 30 cm, który zbiera i odprowadza wodę.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1.4.2.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Rów przydrożny - rów zbierający wodę z korony drogi.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1.4.3.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Rów odpływowy - rów odprowadzający wodę poza pas drogowy.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1.4.4.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Rów stokowy - rów zbierający wodę spływającą ze stoku.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1.4.5.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Pozostałe określenia podstawowe są zgodne z obowiązującymi, odpowiednimi polskimi normami i z definicjami podanymi w OST  D-M-00.00.00 „Wymagania ogólne” pkt 1.4.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1.5. Ogólne wymagania dotyczące robót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robót podano w OST D-M-00.00.00 „Wymagania ogólne” pkt 1.5.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4" w:name="_Toc428169258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</w:t>
      </w:r>
      <w:bookmarkEnd w:id="4"/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Materiały nie występują.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5" w:name="_Toc428169259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  <w:bookmarkEnd w:id="5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3.1. Ogólne wymagania dotyczące sprzętu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sprzętu podano w OST D-M-00.00.00 „Wymagania ogólne” pkt 3.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3.2. Sprzęt do wykonywania robót remontowych i utrzymaniowych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przystępujący do wykonania robót powinien wykazać się możliwością korzystania z następującego sprzętu: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koparek podsiębiernych,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spycharek lemieszowych,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równiarek samojezdnych lub przyczepnych,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urządzeń kontrolno-pomiarowych,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zagęszczarek płytowych wibracyjnych.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6" w:name="_Toc428169260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4. TRANSPORT</w:t>
      </w:r>
      <w:bookmarkEnd w:id="6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4.1. Ogólne wymagania dotyczące transportu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transportu podano w OST D-M-00.00.00 „Wymagania ogólne” pkt 4.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4.2. Transport materiałów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 wykonywaniu robót określonych w niniejszej OST, można korzystać z dowolnych środków transportowych.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7" w:name="_Toc428169261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lastRenderedPageBreak/>
        <w:t>5. WYKONANIE ROBÓT</w:t>
      </w:r>
      <w:bookmarkEnd w:id="7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5.1. Ogólne zasady wykonania robót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wykonania robót podano w OST D-M-00.00.00 „Wymagania ogólne” pkt 5.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 Oczyszczenie rowu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Oczyszczenie rowu polega na wybraniu namułu naniesionego przez wodę, ścięciu trawy i krzaków w obrębie rowu.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5.3. Pogłębianie i wyprofilowanie dna i skarp rowu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W wyniku prac remontowych należy uzyskać podane poniżej wymiary geometryczne rowu i skarp, zgodne z PN-S-02204 [1]: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rowu przydrożnego w kształcie:</w:t>
      </w:r>
    </w:p>
    <w:p w:rsidR="006F0177" w:rsidRPr="006F0177" w:rsidRDefault="006F0177" w:rsidP="006F017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trapezowym - szerokość dna co najmniej 0,40 m, nachylenie skarp od 1:1,5 do 1:1,3, głębokość od 0,30 m do 1,20 m liczona jako różnica poziomów dna i niższej krawędzi górnej rowu;</w:t>
      </w:r>
    </w:p>
    <w:p w:rsidR="006F0177" w:rsidRPr="006F0177" w:rsidRDefault="006F0177" w:rsidP="006F017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trójkątnym - dno wyokrąglone łukiem kołowym o promieniu 0,50 m, nachylenie skarpy wewnętrznej 1:3, nachylenie skarpy zewnętrznej od 1:3 do 1:10, głębokość od 0,30 m do 1,50 m liczona jako różnica poziomów dna i niższej krawędzi górnej rowu;</w:t>
      </w:r>
    </w:p>
    <w:p w:rsidR="006F0177" w:rsidRPr="006F0177" w:rsidRDefault="006F0177" w:rsidP="006F017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opływowym - dno wyokrąglone łukiem kołowym o promieniu 2,0 m, krawędzie górne wyokrąglone łukami kołowymi o promieniu 1,0 m do 2,0 m, nachylenie skarpy wewnętrznej 1:3, a skarpy zewnętrznej od 1:3 do 1:10, głębokość od 0,30 m do 0,50 m liczona jako różnica poziomów dna i niższej krawędzi górnej rowu;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dla rowu stokowego - kształt trapezowy, szerokość dna co najmniej   0,40 m, nachylenie skarp od 1:1,5 do 1:3, głębokość co najmniej 0,50 m. Rów ten powinien być oddalony co najmniej o 3,0 m od krawędzi skarpy drogowej przy gruntach suchych i zwartych i co najmniej o 5,0 m w pozostałych przypadkach.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dla rowu odpływowego - kształt trapezowy, szerokość dna co najmniej  0,40 m, głębokość minimum 0,50 m, przebieg prostoliniowy, na załamaniach trasy łuki kołowe o promieniu co najmniej 10,0 m.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Najmniejszy dopuszczalny spadek podłużny rowu powinien wynosić 0,2%;                  w wyjątkowych sytuacjach na odcinkach nie przekraczających 200 m - 0,1%.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Największy spadek podłużny rowu nie powinien przekraczać:</w:t>
      </w:r>
    </w:p>
    <w:p w:rsidR="006F0177" w:rsidRPr="006F0177" w:rsidRDefault="006F0177" w:rsidP="006F017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przy nieumocnionych skarpach i dnie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w gruntach piaszczystych - 1,5%,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w gruntach piaszczysto-gliniastych, pylastych - 2,0%,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w gruntach gliniastych i ilastych - 3,0%,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w gruntach skalistych - 10,0%;</w:t>
      </w:r>
    </w:p>
    <w:p w:rsidR="006F0177" w:rsidRPr="006F0177" w:rsidRDefault="006F0177" w:rsidP="006F017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przy umocnionych skarpach i dnie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matą trawiastą - 2,0%,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darniną - 3,0%,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faszyną - 4,0%,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brukiem na sucho - 6,0%,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elementami betonowymi - 10,0%,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 brukiem na podsypce cementowo-piaskowej - 15,0%.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Roboty wykończeniowe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Namuł i nadmiar gruntu pochodzącego z remontowanych rowów i skarp należy wywieźć poza obręb pasa drogowego i rozplantować w miejscu zaakceptowanym przez Inżyniera.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Sposób zniszczenia pozostałości po usuniętej roślinności powinien być zgodny z ustaleniami SST lub wskazaniami Inżyniera.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8" w:name="_Toc428169262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6. KONTROLA JAKOŚCI ROBÓT</w:t>
      </w:r>
      <w:bookmarkEnd w:id="8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kontroli jakości robót podano w OST D-M-00.00.00 „Wymagania ogólne” pkt 6.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6.2. Pomiary cech geometrycznych remontowanego rowu i skarp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pomiarów podaje tablica 1.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260"/>
        <w:gridCol w:w="3685"/>
      </w:tblGrid>
      <w:tr w:rsidR="006F0177" w:rsidRPr="006F0177" w:rsidTr="006F017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Minimalna częstotliwość pomiarów</w:t>
            </w:r>
          </w:p>
        </w:tc>
      </w:tr>
      <w:tr w:rsidR="006F0177" w:rsidRPr="006F0177" w:rsidTr="006F017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Spadek podłużny rowu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km na każde 5 km drogi</w:t>
            </w:r>
          </w:p>
        </w:tc>
      </w:tr>
      <w:tr w:rsidR="006F0177" w:rsidRPr="006F0177" w:rsidTr="006F017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i głębokość rowu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raz na 100 m</w:t>
            </w:r>
          </w:p>
        </w:tc>
      </w:tr>
      <w:tr w:rsidR="006F0177" w:rsidRPr="006F0177" w:rsidTr="006F017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Powierzchnia skarp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177" w:rsidRPr="006F0177" w:rsidRDefault="006F0177" w:rsidP="006F017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017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raz na 100 m</w:t>
            </w:r>
          </w:p>
        </w:tc>
      </w:tr>
    </w:tbl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6.2.1.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Spadki podłużne rowu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Spadki podłużne rowu powinny być zgodne z dokumentacją projektową, z tolerancją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0,5% spadku.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6.2.2.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Szerokość i głębokość rowu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Szerokość i głębokość rowu powinna być zgodna z dokumentacją projektową z tolerancją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 cm.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6.2.3. 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Powierzchnia skarp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Powierzchnię skarp należy sprawdzać szablonem. Prześwit między skarpą a szablonem nie powinien przekraczać 3cm.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9" w:name="_Toc428169263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  <w:bookmarkEnd w:id="9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D-M-00.00.00 „Wymagania ogólne” pkt 7.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Jednostka obmiarowa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obmiarową jest m (metr) remontowanego rowu.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0" w:name="_Toc428169264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  <w:bookmarkEnd w:id="10"/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odbioru robót podano w OST D-M-00.00.00 „Wymagania ogólne” pkt 8.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Roboty uznaje się za wykonane zgodnie z dokumentacją projektową, SST i wymaganiami Inżyniera, jeżeli wszystkie pomiary i badania z zachowaniem tolerancji wg pkt 6 dały wyniki pozytywne.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1" w:name="_Toc428169265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  <w:bookmarkEnd w:id="11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 Ogólne ustalenia dotyczące podstawy płatności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ustalenia dotyczące podstawy płatności podano w OST D-M-00.00.00 „Wymagania ogólne” pkt 9.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9.2. Cena jednostki obmiarowej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Cena wykonania 1 m remontowanego rowu obejmuje: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pomiarowe i przygotowawcze,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oznakowanie robót,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oczyszczenie rowu,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pogłębianie i profilowanie rowu,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ścięcie trawy i krzaków,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odwiezienie urobku,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wykończeniowe,</w:t>
      </w:r>
    </w:p>
    <w:p w:rsidR="006F0177" w:rsidRPr="006F0177" w:rsidRDefault="006F0177" w:rsidP="006F017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pomiarów wymaganych w specyfikacji technicznej.</w:t>
      </w:r>
    </w:p>
    <w:p w:rsidR="006F0177" w:rsidRPr="006F0177" w:rsidRDefault="006F0177" w:rsidP="006F0177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2" w:name="_Toc428169266"/>
      <w:r w:rsidRPr="006F0177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  <w:bookmarkEnd w:id="12"/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10.1. Normy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1. PN-S-02204</w:t>
      </w: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Drogi samochodowe. Odwodnienie dróg</w:t>
      </w:r>
    </w:p>
    <w:p w:rsidR="006F0177" w:rsidRPr="006F0177" w:rsidRDefault="006F0177" w:rsidP="006F0177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10.2. Inne materiały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 w:rsidRPr="006F0177">
        <w:rPr>
          <w:rFonts w:ascii="Times New Roman" w:eastAsia="Times New Roman" w:hAnsi="Times New Roman" w:cs="Times New Roman"/>
          <w:sz w:val="20"/>
          <w:szCs w:val="20"/>
          <w:lang w:eastAsia="pl-PL"/>
        </w:rPr>
        <w:t>2. Stanisław Datka, Stanisław Lenczewski: Drogowe roboty ziemne</w:t>
      </w:r>
    </w:p>
    <w:p w:rsidR="006F0177" w:rsidRPr="006F0177" w:rsidRDefault="006F0177" w:rsidP="006F01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007C4" w:rsidRDefault="002007C4"/>
    <w:sectPr w:rsidR="0020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DE450D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B040CD3"/>
    <w:multiLevelType w:val="singleLevel"/>
    <w:tmpl w:val="E2DA5DA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>
    <w:nsid w:val="2BD41759"/>
    <w:multiLevelType w:val="singleLevel"/>
    <w:tmpl w:val="BB7E7D60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57B4587D"/>
    <w:multiLevelType w:val="singleLevel"/>
    <w:tmpl w:val="E2DA5DA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177"/>
    <w:rsid w:val="002007C4"/>
    <w:rsid w:val="006F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5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1098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2021-10-13T11:43:00Z</dcterms:created>
  <dcterms:modified xsi:type="dcterms:W3CDTF">2021-10-13T11:47:00Z</dcterms:modified>
</cp:coreProperties>
</file>